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ESG, SDG ve Kurumsal Entegrasyon: Uyum ve Sürdürülebilir Finansmana Erişim İçin Kapsamlı Analiz Raporu</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YÖNETİCİ ÖZETİ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Sürdürülebilirlik, modern kurumsal stratejinin ayrılmaz bir bileşeni haline gelmiş, gönüllü bir uygulamadan zorunlu bir risk yönetimi ve sermayeye erişim gerekliliğine dönüşmüştür. Bu rapor, kurumsal performansın değerlendirilmesinde kullanılan Çevresel, Sosyal ve Yönetişim (ESG) kriterlerini, Birleşmiş Milletler Sürdürülebilir Kalkınma Amaçları (SDG) ile ilişkisini ve bu küresel hedeflerin kurumsal düzeyde nasıl uygulanıp raporlanması gerektiğini detaylı bir şekilde incelemektedir. ESG, bir şirketin uzun vadeli değer yaratma potansiyelini ve risk yönetimini ölçerken; SDG’ler, 2030’a kadar ulaşılması gereken küresel hedefleri belirler. Bu iki çerçevenin entegrasyonu, firmaların sadece rekabet avantajı elde etmesini değil, aynı zamanda Yeşil Tahvil ve Sürdürülebilirlik Bağlantılı Krediler (SLB/SBTİ) gibi uygun maliyetli sürdürülebilir finansman araçlarına erişimini de sağlamaktadır. Türkiye’de Kamu Gözetimi Kurumu (KGK) tarafından belirlenen Türkiye Sürdürülebilirlik Raporlama Standartları (TSRS) ile uyum, bu dönüşümün yasal dayanağını oluşturmaktadır.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SÜRDÜRÜLEBİLİRLİK ÇERÇEVLERİNE GİRİŞ VE STRATEJİK YAKINLAŞMA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Çevresel, Sosyal ve Yönetişim (ESG) Tanımı ve Kurumsal Önemi</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ESG, yatırımcılar ve paydaşlar tarafından bir kurumun sürdürülebilirlik ve toplumsal sorumluluk performansını değerlendirmek için kullanılan üç temel kriter setidir.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Güçlü bir ESG performansı sergileyen şirketler, yatırım, itibar ve yeni pazarlara erişim konusunda ödüllendirilir.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Çevresel (E) Kriterler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Bu kriterler, bir şirketin çevresel ayak izini, kaynak kullanımını ve iklim değişikliğiyle mücadeledeki rolünü kapsar. Başlıca konular arasında enerji verimliliği, atık ve su yönetimi ve karbon emisyonlarının azaltılması yer alır. Son yıllarda, jeopolitik olayların etkisiyle yeşil enerji yatırımlarına ve koruma uygulamalarına geçiş hızlanmış, bu da "E" boyutunun stratejik önemini artırmıştır.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Sosyal (S) Kriterler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Sosyal kriterler, bir şirketin sosyal yaşama, insan sermayesine, eşitliğe ve kültürel çeşitliliğe yaklaşımını analiz eder.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Kapsadığı temel faktörler; insan hakları, çalışan çeşitliliği ve eşitliği, çalışan memnuniyeti, işveren ilişkileri, müşteri memnuniyeti, veri koruma, halkla ilişkiler ve ürün sorumluluğudur.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Sosyal performansın ölçülmesi, yalnızca çalışanlar ve müşterilerle değil, aynı zamanda toplumla olan ilişkilerin bütünsel bir analizini gerektirir.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Yönetişim (G) Kriterleri</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Yönetişim, kurumun iç yönetim organizasyon sistemlerini, prosedürlerini, denetim yapılarını ve şeffaflığını inceler.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Şirketlerin denetleme yapısı, paydaş hakları, iç yolsuzlukla mücadele uygulamaları ve yönetişime çalışanların katkıları bu başlık altında değerlendirilir.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Çifte Önemlilik (Double Materiality) Prensibi</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Sürdürülebilirlik raporlamasında stratejik bir dönüşüm noktası olan Çifte Önemlilik (Double Materiality), şirketlerin karar alırken iki boyutu aynı anda gözetmesini zorunlu kılar.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Bu, bir yandan sürdürülebilirlik konularının şirketin finansal performansı üzerindeki etkilerini (Finansal Önemlilik) ele almayı, diğer yandan ise şirketin kendi faaliyetlerinin çevre ve toplum üzerindeki etkilerini (Etki Önemliliği) değerlendirmeyi gerektirir. Bu ilke, Avrupa Sürdürülebilirlik Raporlama Standartları (ESRS) gibi yeni düzenlemelerin merkezinde yer almakta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ve ESG’yi sadece bir halkla ilişkiler (PR) faaliyeti olmaktan çıkarıp, finansal raporlama ile eşit düzeyde zorunlu bir risk yönetimi disiplinine dönüştürmektedir. Şirketlerin topluma ve çevreye verdiği zararın finansal risk kadar önemli sayılması, kurumsal stratejinin kökten değişmesini gerektiren kritik bir düzenleyici hamledir.</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Birleşmiş Milletler Sürdürülebilir Kalkınma Amaçları (SDG) ve Küresel 2030 Ajandası</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Sürdürülebilir Kalkınma Amaçları (SDG’ler), 2015 yılında Birleşmiş Milletler tarafından kabul edilen ve 2030 yılına kadar yoksulluk, iklim değişikliği ve eşitsizlikler gibi küresel zorlukları ele almayı amaçlayan 17 küresel hedeftir.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SDG'ler, sadece üye devletler için değil, bireyler, sivil toplum kuruluşları ve şirketler de dahil olmak üzere herkes için uygulanabilir hedefler sunar.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17 Amaç (Goals) Listesi:</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Yoksulluğa Son </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Açlığa Son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Sağlık ve Kaliteli Yaşam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Nitelikli Eğitim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Toplumsal Cinsiyet Eşitliği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Temiz Su ve Sanitasyon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Erişilebilir ve Temiz Enerji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İnsana Yakışır İş ve Ekonomik Büyüme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Sanayi, Yenilikçilik ve Altyapı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Eşitsizliklerin Azaltılması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Sürdürülebilir Şehirler ve Topluluklar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Sorumlu Üretim ve Tüketim </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İklim Eylemi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Sudaki Yaşam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Karasal Yaşam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Barış, Adalet ve Güçlü Kurumlar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Amaçlar İçin Ortaklıklar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ESG ve SDG Arasındaki Bağımlılık ve Stratejik Entegrasyon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SDG’ler ve ESG, sürdürülebilir bir gelecek için bir yol haritası sunar.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Aralarındaki temel fark, kapsam ve işlev ayrımında yatar: SDG'ler ulaşılmak istenen küresel</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hedefleri</w:t>
      </w:r>
      <w:r w:rsidDel="00000000" w:rsidR="00000000" w:rsidRPr="00000000">
        <w:rPr>
          <w:rFonts w:ascii="Google Sans Text" w:cs="Google Sans Text" w:eastAsia="Google Sans Text" w:hAnsi="Google Sans Text"/>
          <w:color w:val="1b1c1d"/>
          <w:rtl w:val="0"/>
        </w:rPr>
        <w:t xml:space="preserve"> (amaç) tanımlarken; ESG, şirketlerin bu hedeflere yönelik performanslarını ölçmek için kullanılan </w:t>
      </w:r>
      <w:r w:rsidDel="00000000" w:rsidR="00000000" w:rsidRPr="00000000">
        <w:rPr>
          <w:rFonts w:ascii="Google Sans Text" w:cs="Google Sans Text" w:eastAsia="Google Sans Text" w:hAnsi="Google Sans Text"/>
          <w:b w:val="1"/>
          <w:color w:val="1b1c1d"/>
          <w:rtl w:val="0"/>
        </w:rPr>
        <w:t xml:space="preserve">kriterleri ve metotları</w:t>
      </w:r>
      <w:r w:rsidDel="00000000" w:rsidR="00000000" w:rsidRPr="00000000">
        <w:rPr>
          <w:rFonts w:ascii="Google Sans Text" w:cs="Google Sans Text" w:eastAsia="Google Sans Text" w:hAnsi="Google Sans Text"/>
          <w:color w:val="1b1c1d"/>
          <w:rtl w:val="0"/>
        </w:rPr>
        <w:t xml:space="preserve"> temsil eder.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Bu iki çerçevenin entegrasyonu, şirketlerin sürdürülebilirlik uygulamalarını küresel çabalarla senkronize ederek önemli bir rekabet avantajı sağlamasına yardımcı olur.</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SDG’ler tek başına bir kurumsal ölçüm aracı sunmazken, ESG kriterleri kurumsal düzeyde ölçülebilir Anahtar Performans Göstergeleri (KPI’lar) sağlayarak SDG’lerin hesap verebilirliğini sağlayan katmanı oluşturur.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Yatırımcılar ve finansal piyasalar, yüksek ESG skorları üzerinden şirketleri ödüllendirir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bu finansal baskı soyut SDG hedeflerinin somut kurumsal stratejilere dönüşmesini hızlandırır. Dünya Ekonomik Forumu (WEF) Paydaş Sermayesi Metrikleri ve Birleşmiş Milletler Sorumlu Yatırım İlkeleri (PRI) gibi çerçeveler, ESG raporlamasını SDG katkılarıyla uyumlu hale getirmek için geliştirilmiştir.</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SDG DETAYLI HİYERARŞİSİ VE KAPSAMI: ALT HEDEFLER VE GÖSTERGELER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SDG Alt Hedefleri (Targets) ve Göstergeleri (Indicators)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Sürdürülebilir Kalkınma Amaçları, eylem ve ölçüm için katmanlı bir hiyerarşiye sahiptir:</w:t>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Goals (Amaçlar):</w:t>
      </w:r>
      <w:r w:rsidDel="00000000" w:rsidR="00000000" w:rsidRPr="00000000">
        <w:rPr>
          <w:rFonts w:ascii="Google Sans Text" w:cs="Google Sans Text" w:eastAsia="Google Sans Text" w:hAnsi="Google Sans Text"/>
          <w:color w:val="1b1c1d"/>
          <w:rtl w:val="0"/>
        </w:rPr>
        <w:t xml:space="preserve"> 17 vizyonel hedeftir.</w:t>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Targets (Alt Hedefler):</w:t>
      </w:r>
      <w:r w:rsidDel="00000000" w:rsidR="00000000" w:rsidRPr="00000000">
        <w:rPr>
          <w:rFonts w:ascii="Google Sans Text" w:cs="Google Sans Text" w:eastAsia="Google Sans Text" w:hAnsi="Google Sans Text"/>
          <w:color w:val="1b1c1d"/>
          <w:rtl w:val="0"/>
        </w:rPr>
        <w:t xml:space="preserve"> Amaçların altında yer alan, toplam 169 spesifik politika hedefini temsil eder.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(Örneğin, Yoksulluğa Son amacının altında, yoksulların lehine politik altyapılar oluşturulmasını destekleyen Alt Hedef 7 yer alır.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Indicators (Göstergeler):</w:t>
      </w:r>
      <w:r w:rsidDel="00000000" w:rsidR="00000000" w:rsidRPr="00000000">
        <w:rPr>
          <w:rFonts w:ascii="Google Sans Text" w:cs="Google Sans Text" w:eastAsia="Google Sans Text" w:hAnsi="Google Sans Text"/>
          <w:color w:val="1b1c1d"/>
          <w:rtl w:val="0"/>
        </w:rPr>
        <w:t xml:space="preserve"> Bu hedeflere yönelik küresel ilerlemeyi izlemek için kullanılan standartlaştırılmış istatistiksel ölçütlerdir. Bu göstergeler, kurumsal düzeyde veri girişi yapılması gereken </w:t>
      </w:r>
      <w:r w:rsidDel="00000000" w:rsidR="00000000" w:rsidRPr="00000000">
        <w:rPr>
          <w:rFonts w:ascii="Google Sans Text" w:cs="Google Sans Text" w:eastAsia="Google Sans Text" w:hAnsi="Google Sans Text"/>
          <w:b w:val="1"/>
          <w:color w:val="1b1c1d"/>
          <w:rtl w:val="0"/>
        </w:rPr>
        <w:t xml:space="preserve">en alt kırılımı</w:t>
      </w:r>
      <w:r w:rsidDel="00000000" w:rsidR="00000000" w:rsidRPr="00000000">
        <w:rPr>
          <w:rFonts w:ascii="Google Sans Text" w:cs="Google Sans Text" w:eastAsia="Google Sans Text" w:hAnsi="Google Sans Text"/>
          <w:color w:val="1b1c1d"/>
          <w:rtl w:val="0"/>
        </w:rPr>
        <w:t xml:space="preserve"> temsil eder.</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Benzersiz Gösterge Sayısı:</w:t>
      </w:r>
      <w:r w:rsidDel="00000000" w:rsidR="00000000" w:rsidRPr="00000000">
        <w:rPr>
          <w:rFonts w:ascii="Google Sans Text" w:cs="Google Sans Text" w:eastAsia="Google Sans Text" w:hAnsi="Google Sans Text"/>
          <w:color w:val="1b1c1d"/>
          <w:rtl w:val="0"/>
        </w:rPr>
        <w:t xml:space="preserve"> Birleşmiş Milletler’in Küresel Gösterge Çerçevesi, toplam 244 gösterge maddesi içerir; ancak dokuz göstergenin mükerrer olması nedeniyle, bir firmanın uygulaması ve veri toplaması gereken </w:t>
      </w:r>
      <w:r w:rsidDel="00000000" w:rsidR="00000000" w:rsidRPr="00000000">
        <w:rPr>
          <w:rFonts w:ascii="Google Sans Text" w:cs="Google Sans Text" w:eastAsia="Google Sans Text" w:hAnsi="Google Sans Text"/>
          <w:b w:val="1"/>
          <w:color w:val="1b1c1d"/>
          <w:rtl w:val="0"/>
        </w:rPr>
        <w:t xml:space="preserve">benzersiz gösterge sayısı 232</w:t>
      </w:r>
      <w:r w:rsidDel="00000000" w:rsidR="00000000" w:rsidRPr="00000000">
        <w:rPr>
          <w:rFonts w:ascii="Google Sans Text" w:cs="Google Sans Text" w:eastAsia="Google Sans Text" w:hAnsi="Google Sans Text"/>
          <w:color w:val="1b1c1d"/>
          <w:rtl w:val="0"/>
        </w:rPr>
        <w:t xml:space="preserve">’dir.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UN’in resmi gösterge çerçevesinde, 232 benzersiz göstergeden daha alt bir kırılım bulunmamaktadır.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Ancak, şirketlerin bu göstergeleri kurumsal ölçekte uygulaması için, her bir küresel göstergeyi dahili, sektöre özel KPI’lara dönüştürmesi gerekir.</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Firmanın Uygulaması Gereken Alt Kırılımların Tespiti: Önemlilik Analizi</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Eğer bir firmanın, tüm 17 SDG’yi stratejik hedef olarak seçtiği varsayılırsa, teorik olarak tüm 169 Alt Hedefi ve 232 Göstergeyi kapsayacak şekilde kurumsal KPI’lar belirlemesi gerekir. Ancak, pratik uygulamada, şirketlerin kaynaklarını en önemli etki alanlarına odaklamasını sağlamak için </w:t>
      </w:r>
      <w:r w:rsidDel="00000000" w:rsidR="00000000" w:rsidRPr="00000000">
        <w:rPr>
          <w:rFonts w:ascii="Google Sans Text" w:cs="Google Sans Text" w:eastAsia="Google Sans Text" w:hAnsi="Google Sans Text"/>
          <w:b w:val="1"/>
          <w:color w:val="1b1c1d"/>
          <w:rtl w:val="0"/>
        </w:rPr>
        <w:t xml:space="preserve">Önemlilik Analizi (Materiality Assessment)</w:t>
      </w:r>
      <w:r w:rsidDel="00000000" w:rsidR="00000000" w:rsidRPr="00000000">
        <w:rPr>
          <w:rFonts w:ascii="Google Sans Text" w:cs="Google Sans Text" w:eastAsia="Google Sans Text" w:hAnsi="Google Sans Text"/>
          <w:color w:val="1b1c1d"/>
          <w:rtl w:val="0"/>
        </w:rPr>
        <w:t xml:space="preserve"> mekanizması kullanılır.</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analiz, Çifte Önemlilik prensibi doğrultusunda, şirketin operasyonlarından kaynaklanan çevresel ve sosyal etkileri (Etki Önemliliği) ile bu etkilerin finansal sonuçlarını (Finansal Önemlilik) analiz ederek, 232 göstergeden hangilerinin kendisi için kritik olduğunu belirlemesini zorunlu kılar. Şirket, yalnızca önemli olduğu tespit edilen göstergeler için veri toplama, raporlama ve güvence denetimi zorunluluğu altına girer.</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232 göstergenin etkin bir şekilde yönetilmesi, büyük bir firmanın veri yönetimi olgunluğunu test eden en kapsamlı projedir. Finansal veriler Kurumsal Kaynak Planlama (ERP) sistemlerinde standartlaştırılmış olsa da, SDG 5 (Cinsiyet Eşitliği) veya SDG 10 (Eşitsizliklerin Azaltılması) gibi sosyal göstergeler, merkezi olmayan İK sistemleri, anketler veya manuel veri toplama gibi farklı kaynaklardan veri temin etmeyi gerektirir.</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Tablo 1: SDG Hiyerarşisi ve Kurumsal Uygulama Mimarisi</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Hiyerarşi Seviyesi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Tanım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Sayısal Kapsam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Kurumsal Rolü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Veri Giriş Gereksinimi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Goal (Amaç)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Küresel vizyon ve üst düzey hedef.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Stratejik Odaklanma Alanı.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Düşük (Kılavuzlama)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(Alt Hedef)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Spesifik, eyleme dönük politika hedefleri (169).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Kurumsal Politika ve Program Geliştirme.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Orta (Yönlendirme)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Indicator (Gösterge)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Küresel ilerlemeyi ölçen istatistiksel metrikler (232 benzersiz).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Raporlama Standardı ve Veri Toplama Kırılımı.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Yüksek (Zorunlu Veri Noktası)</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KURUMSAL UYGULAMA MİMARİSİ VE VERİ YÖNETİMİ</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SDG Göstergeleri İçin KPI Dönüşümü ve Veri Girişi</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232 küresel göstergeyi yönetebilmek ve ölçülebilir sonuçlar elde etmek için firmalar, her bir göstergeyi Kurumsal Temel Performans Göstergelerine (TPG) dönüştürmelidir.</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TPG’ler, ölçülebilir, işletmeye özel ve hedefe ulaşılabilir olmalıdır.</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Veri Girişi Gereken Kilit Alanlar ve KPI Örnekleri:</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Çevresel (E) Verisi:</w:t>
      </w:r>
      <w:r w:rsidDel="00000000" w:rsidR="00000000" w:rsidRPr="00000000">
        <w:rPr>
          <w:rFonts w:ascii="Google Sans Text" w:cs="Google Sans Text" w:eastAsia="Google Sans Text" w:hAnsi="Google Sans Text"/>
          <w:color w:val="1b1c1d"/>
          <w:rtl w:val="0"/>
        </w:rPr>
        <w:t xml:space="preserve"> Karbon ayak izi (ton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e), birim hasılata düşen enerji tüketimi (MWh/USD), atık geri dönüşüm oranı ve tehlikeli atıkların güvenli imha oranı. Bu veriler, şirketin çevresel etkilerini nicel olarak gösterir.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Sosyal (S) Verisi:</w:t>
      </w:r>
      <w:r w:rsidDel="00000000" w:rsidR="00000000" w:rsidRPr="00000000">
        <w:rPr>
          <w:rFonts w:ascii="Google Sans Text" w:cs="Google Sans Text" w:eastAsia="Google Sans Text" w:hAnsi="Google Sans Text"/>
          <w:color w:val="1b1c1d"/>
          <w:rtl w:val="0"/>
        </w:rPr>
        <w:t xml:space="preserve"> Çalışan memnuniyeti derecesi, çalışan kaybı oranı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insan kaynakları süreçlerinin etkinliği, üst ve orta yönetimdeki cinsiyet çeşitliliği yüzdesi.</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Yönetişim (G) Verisi:</w:t>
      </w:r>
      <w:r w:rsidDel="00000000" w:rsidR="00000000" w:rsidRPr="00000000">
        <w:rPr>
          <w:rFonts w:ascii="Google Sans Text" w:cs="Google Sans Text" w:eastAsia="Google Sans Text" w:hAnsi="Google Sans Text"/>
          <w:color w:val="1b1c1d"/>
          <w:rtl w:val="0"/>
        </w:rPr>
        <w:t xml:space="preserve"> Etik eğitimine katılım oranları, denetim bulgularının sayısı, yolsuzlukla mücadele politikalarına uyum.</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Veri Toplama Sistemleri: Otomasyon, ERP, Anket ve Scan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Güvenilir, denetlenebilir ve ölçeklenebilir raporlama için, manuel veri girişinden kaçınılmalı ve otomasyon sistemlerine yatırım yapılmalıdır.</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ERP Sistemleri (Kurumsal Kaynak Planlama):</w:t>
      </w:r>
      <w:r w:rsidDel="00000000" w:rsidR="00000000" w:rsidRPr="00000000">
        <w:rPr>
          <w:rFonts w:ascii="Google Sans Text" w:cs="Google Sans Text" w:eastAsia="Google Sans Text" w:hAnsi="Google Sans Text"/>
          <w:color w:val="1b1c1d"/>
          <w:rtl w:val="0"/>
        </w:rPr>
        <w:t xml:space="preserve"> ERP sistemleri, sürdürülebilirlik hedeflerine ulaşmada merkezi bir rol oynar.</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Tedarik zinciri (özellikle Kapsam 3 emisyonları), enerji tüketimi, atık yönetimi ve hammadde kullanımı gibi operasyonel veriler, ERP modülleri üzerinden bütünleşik ve sürekli bir yaklaşımla toplanır. Bu otomasyon, hem maliyet tasarrufu hem de çevresel etkiyi minimize etme açısından kritik öneme sahiptir.</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Anketler ve Dijital Araçlar:</w:t>
      </w:r>
      <w:r w:rsidDel="00000000" w:rsidR="00000000" w:rsidRPr="00000000">
        <w:rPr>
          <w:rFonts w:ascii="Google Sans Text" w:cs="Google Sans Text" w:eastAsia="Google Sans Text" w:hAnsi="Google Sans Text"/>
          <w:color w:val="1b1c1d"/>
          <w:rtl w:val="0"/>
        </w:rPr>
        <w:t xml:space="preserve"> Çalışan memnuniyeti, kültürel çeşitlilik ve paydaş geri bildirimleri gibi subjektif veya sosyal metrikler, yapılandırılmış dijital anketler ve iç platformlar aracılığıyla toplanır. Bu yarı otomatik veriler, merkezi sürdürülebilirlik yönetim yazılımlarına entegre edilmelidir.</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IoT/Sensörler (Scan):</w:t>
      </w:r>
      <w:r w:rsidDel="00000000" w:rsidR="00000000" w:rsidRPr="00000000">
        <w:rPr>
          <w:rFonts w:ascii="Google Sans Text" w:cs="Google Sans Text" w:eastAsia="Google Sans Text" w:hAnsi="Google Sans Text"/>
          <w:color w:val="1b1c1d"/>
          <w:rtl w:val="0"/>
        </w:rPr>
        <w:t xml:space="preserve"> Su ve enerji sayaçlarından gelen veriler gibi fiziksel ölçümler, Nesnelerin İnterneti (IoT) cihazları aracılığıyla otomatik olarak toplanarak raporlama sistemlerine aktarılabilir.</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Veri toplama altyapısının şeffaf, doğru ve dürüst olması, özellikle finansal sonuçları doğrudan etkileyen Sürdürülebilirlik Performans Hedeflerinin (SPH) takibi için hayati önem taşır.</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Bu nedenle, veri girişinin ERP sistemleri üzerinden otomatik ve kesintisiz yapılması, finansal risk yönetiminin temel teknik gereksinimlerindendir.</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Tablo 2: Anahtar SDG Alt Hedefleri İçin Veri Giriş Matrisi (Örnekler)</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SDG/Hedef Örneği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Amaç Alanı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Global Gösterge Tipi (232 listesinden)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Kurumsal KPI Örneği (TPG)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Toplama Kaynağı/Metodu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SDG 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Enerji Verimliliği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Enerji yoğunluğunda iyileşme oranı.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Birim hasılata düşen enerji tüketimi (MWh/USD).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ERP/Enerji Yönetim Sistemi (Otomatik).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SDG 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Toplumsal Cinsiyet Eşitliği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Yöneticilik pozisyonlarındaki kadın oranı.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Üst ve orta yönetimde cinsiyet dağılımı yüzdesi.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İK Sistemi/Anket (Yarı Otomatik).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SDG 12.4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Atık Yönetimi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Tehlikeli atıkların güvenli imha oranı.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Geri dönüştürülen veya yeniden kullanılan atık tonajı.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ERP/Atık Yönetimi Modülü (Otomatik).</w:t>
            </w:r>
          </w:p>
        </w:tc>
      </w:tr>
    </w:tbl>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VERİ ANALİZİ, STANDARTLAR VE DEĞERLENDİRME METOTLARI</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Veri Analizi ve Değerlendirme Süreci</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Toplanan nicel KPI’lar (TPG’ler), belirlenen Sürdürülebilirlik Performans Hedeflerine (SPH) karşı sistematik olarak analiz edilir.</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Analiz süreci, hedeflere yönelik ilerlemeyi ölçmek ve stratejileri buna göre uyarlamak için düzenli olarak yapılmalıdır.</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Metrikler, genellikle yüzde bazında iyileşme oranları (örneğin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emisyonlarında %X azaltım), mutlak performans değerleri ve sektörel kriterlere (GRI, SASB metrikleri) uygunluk üzerinden karşılaştırılır.</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Değerlendirme, şeffaflığı ve hesap verebilirliği sağlamanın yanı sıra, çevresel, sosyal ve ekonomik faktörleri dengeleyen bilinçli stratejik kararlar alınmasını sağlamayı amaçlar.</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Küresel Raporlama Standartları ile Karşılaştırma</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Firmanın SDG/ESG verilerinin analizi, farklı paydaşların (yatırımcılar, müşteriler, düzenleyiciler) bilgi ihtiyaçlarını karşılamak üzere tasarlanmış uluslararası standartlarla uyumlu olmalıdır.</w:t>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Global Reporting Initiative (GRI) Standartları:</w:t>
      </w:r>
      <w:r w:rsidDel="00000000" w:rsidR="00000000" w:rsidRPr="00000000">
        <w:rPr>
          <w:rFonts w:ascii="Google Sans Text" w:cs="Google Sans Text" w:eastAsia="Google Sans Text" w:hAnsi="Google Sans Text"/>
          <w:color w:val="1b1c1d"/>
          <w:rtl w:val="0"/>
        </w:rPr>
        <w:t xml:space="preserve"> Firmanın ekonomik, çevresel ve sosyal </w:t>
      </w:r>
      <w:r w:rsidDel="00000000" w:rsidR="00000000" w:rsidRPr="00000000">
        <w:rPr>
          <w:rFonts w:ascii="Google Sans Text" w:cs="Google Sans Text" w:eastAsia="Google Sans Text" w:hAnsi="Google Sans Text"/>
          <w:b w:val="1"/>
          <w:color w:val="1b1c1d"/>
          <w:rtl w:val="0"/>
        </w:rPr>
        <w:t xml:space="preserve">etkilerine</w:t>
      </w:r>
      <w:r w:rsidDel="00000000" w:rsidR="00000000" w:rsidRPr="00000000">
        <w:rPr>
          <w:rFonts w:ascii="Google Sans Text" w:cs="Google Sans Text" w:eastAsia="Google Sans Text" w:hAnsi="Google Sans Text"/>
          <w:color w:val="1b1c1d"/>
          <w:rtl w:val="0"/>
        </w:rPr>
        <w:t xml:space="preserve"> odaklanan ve geniş bir paydaş kitlesine hitap eden en yaygın kullanılan çerçevedir.</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SDG’lere yönelik kurumsal etki raporlamasında temel olarak kullanılır ve Etki Önemliliği perspektifini benimser.</w:t>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Sustainability Accounting Standards Board (SASB) Standartları:</w:t>
      </w:r>
      <w:r w:rsidDel="00000000" w:rsidR="00000000" w:rsidRPr="00000000">
        <w:rPr>
          <w:rFonts w:ascii="Google Sans Text" w:cs="Google Sans Text" w:eastAsia="Google Sans Text" w:hAnsi="Google Sans Text"/>
          <w:color w:val="1b1c1d"/>
          <w:rtl w:val="0"/>
        </w:rPr>
        <w:t xml:space="preserve"> Yatırımcı odaklı olup, sürdürülebilirlik konularının şirketin </w:t>
      </w:r>
      <w:r w:rsidDel="00000000" w:rsidR="00000000" w:rsidRPr="00000000">
        <w:rPr>
          <w:rFonts w:ascii="Google Sans Text" w:cs="Google Sans Text" w:eastAsia="Google Sans Text" w:hAnsi="Google Sans Text"/>
          <w:b w:val="1"/>
          <w:color w:val="1b1c1d"/>
          <w:rtl w:val="0"/>
        </w:rPr>
        <w:t xml:space="preserve">finansal performansı</w:t>
      </w:r>
      <w:r w:rsidDel="00000000" w:rsidR="00000000" w:rsidRPr="00000000">
        <w:rPr>
          <w:rFonts w:ascii="Google Sans Text" w:cs="Google Sans Text" w:eastAsia="Google Sans Text" w:hAnsi="Google Sans Text"/>
          <w:color w:val="1b1c1d"/>
          <w:rtl w:val="0"/>
        </w:rPr>
        <w:t xml:space="preserve"> üzerindeki önemli etkilerine (Finansal Önemlilik) odaklanır. Sektöre özgü metrikler sunar ve TCFD çerçevesini tamamlayıcı niteliktedir.</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Task Force on Climate-related Financial Disclosures (TCFD):</w:t>
      </w:r>
      <w:r w:rsidDel="00000000" w:rsidR="00000000" w:rsidRPr="00000000">
        <w:rPr>
          <w:rFonts w:ascii="Google Sans Text" w:cs="Google Sans Text" w:eastAsia="Google Sans Text" w:hAnsi="Google Sans Text"/>
          <w:color w:val="1b1c1d"/>
          <w:rtl w:val="0"/>
        </w:rPr>
        <w:t xml:space="preserve"> Özellikle iklim değişikliğiyle ilgili risklerin ve fırsatların finansal raporlama üzerindeki etkilerini açıklar ve ISSB tarafından temel alınmıştır.</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International Sustainability Standards Board (ISSB) Standartları:</w:t>
      </w:r>
      <w:r w:rsidDel="00000000" w:rsidR="00000000" w:rsidRPr="00000000">
        <w:rPr>
          <w:rFonts w:ascii="Google Sans Text" w:cs="Google Sans Text" w:eastAsia="Google Sans Text" w:hAnsi="Google Sans Text"/>
          <w:color w:val="1b1c1d"/>
          <w:rtl w:val="0"/>
        </w:rPr>
        <w:t xml:space="preserve"> Küresel raporlama karmaşasını azaltmak amacıyla TCFD ve SASB’nin çalışmalarını birleştirerek uluslararası kabul görecek, finansal odaklı sürdürülebilirlik açıklamaları oluşturmayı hedefler.</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Global düzeyde ISSB ile finansal odaklı raporlamada uyum trendi gözlemlense de, şirketlerin etki odaklı geniş paydaş taleplerini karşılamak için genellikle GRI standartlarını, finansal odaklı ISSB/SASB standartlarıyla birlikte kullanma zorunluluğu devam etmektedir.</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Bu durum, firmaların uyum stratejisinde tek bir veri setinden hem Etki Önemliliği hem de Finansal Önemliliği kapsayan iki farklı raporlama çıktısı üretmesini gerektirir.</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Değerlendirme Kalitesi: Güvence Denetimi</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Veri girişleri ve değerlendirmeler sonucunda hazırlanan raporların güvenilirliğini sağlamak için, şirketlerin raporlarını bağımsız denetim kuruluşları tarafından güvence denetimine (Assurance Audit) tabi tutması gereklidir.</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Türkiye’de sürdürülebilirlik raporlaması yapan şirketlerin önemli bir kısmı (%52), bu güvence denetimini yaptırmaktadır.</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Tablo 3: Küresel Raporlama Standartlarının Kapsam Karşılaştırması</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Temel Odak Alanı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Hedef Kitle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SDG/ESG Bağlantısı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Önemlilik (Materiality) Tipi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Kurumun çevre ve toplum üzerindeki geniş etkileri.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Geniş Paydaşlar.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Doğrudan SDG etkilerini ölçmek için kullanılır.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Etki Önemliliği.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SASB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Finansal performansı etkileyecek sürdürülebilirlik riskleri.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Yatırımcılar.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ESG faktörlerinin uzun vadeli değer yaratma potansiyelini gösterir.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Finansal Önemlilik.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ISSB (IFRS 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Küresel ölçekte harmonize edilmiş finansal raporlama için sürdürülebilirlik açıklamaları.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Küresel Yatırımcılar.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SASB ve TCFD'yi birleştirir.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Temel olarak Finansal Önemlilik.</w:t>
            </w:r>
          </w:p>
        </w:tc>
      </w:tr>
    </w:tbl>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RAPORLAMA YÜKÜMLÜLÜKLERİ VE RESMİ KURUMSAL ÇERÇEVLER</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Oluşturulması Gereken Resmi Raporlar</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Veri girişleri ve analizleri takiben firmalar, paydaşlara yönelik şeffaf raporlar sunmakla yükümlüdür:</w:t>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Sürdürülebilirlik Raporu:</w:t>
      </w:r>
      <w:r w:rsidDel="00000000" w:rsidR="00000000" w:rsidRPr="00000000">
        <w:rPr>
          <w:rFonts w:ascii="Google Sans Text" w:cs="Google Sans Text" w:eastAsia="Google Sans Text" w:hAnsi="Google Sans Text"/>
          <w:color w:val="1b1c1d"/>
          <w:rtl w:val="0"/>
        </w:rPr>
        <w:t xml:space="preserve"> Firmanın çevresel, sosyal ve yönetişim alanındaki çabalarını, başarılarını ve zorluklarını içeren kapsamlı bir belgedir.</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Entegre Rapor (Integrated Report):</w:t>
      </w:r>
      <w:r w:rsidDel="00000000" w:rsidR="00000000" w:rsidRPr="00000000">
        <w:rPr>
          <w:rFonts w:ascii="Google Sans Text" w:cs="Google Sans Text" w:eastAsia="Google Sans Text" w:hAnsi="Google Sans Text"/>
          <w:color w:val="1b1c1d"/>
          <w:rtl w:val="0"/>
        </w:rPr>
        <w:t xml:space="preserve"> Finansal performansı, ESG/SDG faaliyetlerini, uzun vadeli stratejileri, riskleri ve fırsatları bütünleşik bir yaklaşımla paydaşlara sunar.</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Entegre raporlama, rekabet koşulları içinde şirketleri öne çıkarır.</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Özel Alan Raporları:</w:t>
      </w:r>
      <w:r w:rsidDel="00000000" w:rsidR="00000000" w:rsidRPr="00000000">
        <w:rPr>
          <w:rFonts w:ascii="Google Sans Text" w:cs="Google Sans Text" w:eastAsia="Google Sans Text" w:hAnsi="Google Sans Text"/>
          <w:color w:val="1b1c1d"/>
          <w:rtl w:val="0"/>
        </w:rPr>
        <w:t xml:space="preserve"> CDP (eski adıyla Karbon Açıklama Projesi) gibi kuruluşlara sunulan çevresel etkileri (iklim değişikliği, su güvenliği, ormanlar) detaylandıran raporlar.</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Türkiye’deki Resmi Raporlama Yükümlülükleri ve Kurumlar</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Türkiye’de sürdürülebilirlik raporlaması ve standartların belirlenmesi resmiyet kazanmıştır:</w:t>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KGK (Kamu Gözetimi Kurumu):</w:t>
      </w:r>
      <w:r w:rsidDel="00000000" w:rsidR="00000000" w:rsidRPr="00000000">
        <w:rPr>
          <w:rFonts w:ascii="Google Sans Text" w:cs="Google Sans Text" w:eastAsia="Google Sans Text" w:hAnsi="Google Sans Text"/>
          <w:color w:val="1b1c1d"/>
          <w:rtl w:val="0"/>
        </w:rPr>
        <w:t xml:space="preserve"> Türkiye Sürdürülebilirlik Raporlama Standartları’nı (TSRS) belirleyen ve uygulama kapsamına ilişkin kararları yayımlayan ana düzenleyici kurumdur.</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TSRS, uluslararası standartlara (özellikle ISSB ve ESRS) uyumlu olmayı hedeflemektedir.</w:t>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SPK ve Borsa İstanbul (BIST):</w:t>
      </w:r>
      <w:r w:rsidDel="00000000" w:rsidR="00000000" w:rsidRPr="00000000">
        <w:rPr>
          <w:rFonts w:ascii="Google Sans Text" w:cs="Google Sans Text" w:eastAsia="Google Sans Text" w:hAnsi="Google Sans Text"/>
          <w:color w:val="1b1c1d"/>
          <w:rtl w:val="0"/>
        </w:rPr>
        <w:t xml:space="preserve"> BIST’te işlem gören belirli büyüklükteki şirketler ve finansal kuruluşlar için raporlama zorunlulukları mevcuttur. Entegre Raporlama Türkiye Ağı (ERTA), Borsa İstanbul ve Yıldız Teknik Üniversitesi işbirliğiyle Entegre Raporlama Rehberi hazırlanarak raporlama ekosisteminin geliştirilmesine yönelik çalışmalar yapılmaktadır.</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Resmi Kurumlara Sunum:</w:t>
      </w:r>
      <w:r w:rsidDel="00000000" w:rsidR="00000000" w:rsidRPr="00000000">
        <w:rPr>
          <w:rFonts w:ascii="Google Sans Text" w:cs="Google Sans Text" w:eastAsia="Google Sans Text" w:hAnsi="Google Sans Text"/>
          <w:color w:val="1b1c1d"/>
          <w:rtl w:val="0"/>
        </w:rPr>
        <w:t xml:space="preserve"> Yükümlü kılınan firmalar, raporlarını KGK’nın belirlediği TSRS’ye uygun olarak hazırlamalı ve SPK/BIST gibi düzenleyici kurumların gerektirdiği formatta yayımlamalıdır.</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KGK’nın eğitim müfredatları belirleyerek yetkilendirdiği kuruluşlar aracılığıyla “yeşil yakalı” uzmanların yetiştirilmesi </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sürdürülebilirlik raporlamasının denetlenebilir ve profesyonel bir disiplin olarak resmileştiğini göstermektedir. Bu profesyonelleşme, raporların kalitesini ve dolayısıyla finansal güvenilirliğini artırmayı amaçlamaktadır.</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SÜRDÜRÜLEBİLİR FİNANSMANA ERİŞİM VE TEŞVİK MEKANİZMALARI</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Raporlama Performansının Kredi, Hibe ve Desteklere Etkisi</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Güçlü ESG ve SDG uyum performansı, firmalar için sermaye maliyetini düşüren ve uzun vadeli finansman sağlayan önemli bir kaldıraçtır. Sürdürülebilirlik performansı, geleneksel kredilere göre daha uygun koşullarla finansman sağlayan sürdürülebilirlik bağlantılı finansman mekanizmalarına erişimi kolaylaştırır.</w:t>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Uluslararası Kalkınma Bankaları:</w:t>
      </w:r>
      <w:r w:rsidDel="00000000" w:rsidR="00000000" w:rsidRPr="00000000">
        <w:rPr>
          <w:rFonts w:ascii="Google Sans Text" w:cs="Google Sans Text" w:eastAsia="Google Sans Text" w:hAnsi="Google Sans Text"/>
          <w:color w:val="1b1c1d"/>
          <w:rtl w:val="0"/>
        </w:rPr>
        <w:t xml:space="preserve"> Avrupa Yatırım Bankası (EIB) gibi kurumlar, destekledikleri projelerin sonuçlarını otomatik olarak SDG'lere haritalandırır. Bu haritalama süreci, bir projenin SDG'lere ne kadar katkı sağladığının belirlenmesinde kritik bir veri elementidir ve finansman kararının temelini oluşturur.</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Uluslararası Finans Kurumu (IFC) ve Avrupa İmar ve Kalkınma Bankası (EBRD) gibi diğer kalkınma bankaları da SDG uyumlu projelere öncelik vermektedir.</w:t>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Ülkeler ve Hibe Mekanizmaları:</w:t>
      </w:r>
      <w:r w:rsidDel="00000000" w:rsidR="00000000" w:rsidRPr="00000000">
        <w:rPr>
          <w:rFonts w:ascii="Google Sans Text" w:cs="Google Sans Text" w:eastAsia="Google Sans Text" w:hAnsi="Google Sans Text"/>
          <w:color w:val="1b1c1d"/>
          <w:rtl w:val="0"/>
        </w:rPr>
        <w:t xml:space="preserve"> SDG hedeflerine yönelik spesifik ulusal ve uluslararası fonlar, iklim eylemi ve sürdürülebilir kalkınma alanlarındaki projelere hibe ve destek sağlamaktadır.</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Sürdürülebilirlik Bağlantılı Finansal Araçlar (Yeşil Tahvil, SLB)</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Yeşil Tahviller (Green Bonds):</w:t>
      </w:r>
      <w:r w:rsidDel="00000000" w:rsidR="00000000" w:rsidRPr="00000000">
        <w:rPr>
          <w:rFonts w:ascii="Google Sans Text" w:cs="Google Sans Text" w:eastAsia="Google Sans Text" w:hAnsi="Google Sans Text"/>
          <w:color w:val="1b1c1d"/>
          <w:rtl w:val="0"/>
        </w:rPr>
        <w:t xml:space="preserve"> Geleneksel tahvillere benzer yapıdadır, ancak toplanan fonların yalnızca çevresel sürdürülebilirlik hedeflerini (örneğin SDG 7: Temiz Enerji, SDG 13: İklim Eylemi) destekleyen projelere yönlendirilmesini şart koşar.</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Sürdürülebilirlik Bağlantılı Tahviller/Krediler (SBTİ/SLB):</w:t>
      </w:r>
      <w:r w:rsidDel="00000000" w:rsidR="00000000" w:rsidRPr="00000000">
        <w:rPr>
          <w:rFonts w:ascii="Google Sans Text" w:cs="Google Sans Text" w:eastAsia="Google Sans Text" w:hAnsi="Google Sans Text"/>
          <w:color w:val="1b1c1d"/>
          <w:rtl w:val="0"/>
        </w:rPr>
        <w:t xml:space="preserve"> Bu finansman araçları, borçlanmanın faiz oranı ve vade gibi finansal özelliklerini, doğrudan firmanın önceden belirlenen Sürdürülebilirlik Performans Hedeflerine (SPH) bağlar.</w:t>
      </w:r>
    </w:p>
    <w:p w:rsidR="00000000" w:rsidDel="00000000" w:rsidP="00000000" w:rsidRDefault="00000000" w:rsidRPr="00000000" w14:paraId="000000D3">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Mekanizma:</w:t>
      </w:r>
      <w:r w:rsidDel="00000000" w:rsidR="00000000" w:rsidRPr="00000000">
        <w:rPr>
          <w:rFonts w:ascii="Google Sans Text" w:cs="Google Sans Text" w:eastAsia="Google Sans Text" w:hAnsi="Google Sans Text"/>
          <w:color w:val="1b1c1d"/>
          <w:rtl w:val="0"/>
        </w:rPr>
        <w:t xml:space="preserve"> TPG’lerin (KPI’lar) seçimi, SPH’lerin (örneğin 2025 yılına kadar emisyon yoğunluğunu %20 azaltma) belirlenmesi ve bağımsız üçüncü tarafça doğrulama (verification) bu sürecin beş temel bileşenidir.</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D4">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Risk Yönetimi:</w:t>
      </w:r>
      <w:r w:rsidDel="00000000" w:rsidR="00000000" w:rsidRPr="00000000">
        <w:rPr>
          <w:rFonts w:ascii="Google Sans Text" w:cs="Google Sans Text" w:eastAsia="Google Sans Text" w:hAnsi="Google Sans Text"/>
          <w:color w:val="1b1c1d"/>
          <w:rtl w:val="0"/>
        </w:rPr>
        <w:t xml:space="preserve"> SLB mekanizmasındaki "Tetikleyici Olay" (Trigger Event), şirketin SPH’lere ulaşamaması durumunda tahvilin veya kredinin finansal özelliklerinin (örneğin faiz oranının) olumsuz yönde değişmesine yol açar.</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Bu mekanizma, ESG/SDG uyumunu doğrudan finansal risk azaltma fonksiyonuna dönüştürür. TPG/KPI verilerinin ERP kaynaklı güvenilirliği ve sürekli izlenmesi, borçlanma maliyetindeki potansiyel artış riskini yönetmek için hayati önem taşır.</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İklim Finansmanı ve Taksonomi Çerçeveleri</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Taksonomi, şirketler, yatırımcılar ve politika yapıcılar için neyin "yeşil" olduğuna dair net tanımlamalar sağlayan bir sınıflandırma sistemidir.</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Bu tanımlamalar, finansal kaynakların sürdürülebilir yatırımlar ile buluşmasını kolaylaştırmayı ve yeşil dönüşüme dair bir yol haritası oluşturmayı amaçlar. Taksonomi, yeşil ve sürdürülebilir tahvil ihraçlarını destekleyen temel bir çerçevedir.</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Tablo 4: Sürdürülebilir Finansman Mekanizmaları ve Gerekli ESG/SDG Performansı Kriterleri</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Finansman Aracı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Amacı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ESG/SDG Bağlantısı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Gerekli Raporlama Standartları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Kritik Başarı Faktörü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Yeşil Tahvil (Green Bond)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Çevresel projelere özel fon.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Fonun kullanım amacı SDG'lerle uyumlu olmalıdır.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GRI, TCFD, CBI (Climate Bonds Initiative).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Fonun ayrıştırılması ve şeffaf kullanım raporlaması.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SLB/SBTİ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Genel kurumsal finansman, performansa bağlı maliyetlendirme.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Faiz/koşullar, önceden belirlenmiş TPG'ler ve SPH'lere bağlıdır.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ISSB, SASB (Finansal Önemlilik), Bağımsız Güvence.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TPG/KPI verilerinin güvenilirliği ve SPH'ye ulaşılması.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EIB/Kalkınma Kredileri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Kalkınma projelerine destek.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Projenin sektörü ve sonuçları EIB'nin SDG haritasıyla uyumlu olmalıdır.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Proje bazlı SDG haritalama.</w:t>
            </w:r>
            <w:r w:rsidDel="00000000" w:rsidR="00000000" w:rsidRPr="00000000">
              <w:rPr>
                <w:rFonts w:ascii="Google Sans Text" w:cs="Google Sans Text" w:eastAsia="Google Sans Text" w:hAnsi="Google Sans Text"/>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Ölçülebilir ve bağımsız doğrulanabilir SDG Etkisi.</w:t>
            </w:r>
          </w:p>
        </w:tc>
      </w:tr>
    </w:tbl>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SONUÇ VE STRATEJİK ÖNERİLER</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Sürdürülebilirlik hedeflerine ulaşmak, ESG kriterlerini kullanarak somut bir çerçeveye oturtulmayı gerektirir. Bir firmanın tüm SDG’leri benimsemesi durumunda, 232 benzersiz küresel göstergeyi dahili KPI’lara dönüştürerek Önemlilik Analizi yapması ve bu verileri güvenilir sistemler aracılığıyla toplamasını zorunludur.</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Stratejik Eylem Planı:</w:t>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Veri Mimarisinin Otomasyonu:</w:t>
      </w:r>
      <w:r w:rsidDel="00000000" w:rsidR="00000000" w:rsidRPr="00000000">
        <w:rPr>
          <w:rFonts w:ascii="Google Sans Text" w:cs="Google Sans Text" w:eastAsia="Google Sans Text" w:hAnsi="Google Sans Text"/>
          <w:color w:val="1b1c1d"/>
          <w:rtl w:val="0"/>
        </w:rPr>
        <w:t xml:space="preserve"> Manuel veri girişlerinin hata payını ve denetim riskini azaltmak için, enerji, atık ve tedarik zinciri verilerinin doğrudan Kurumsal Kaynak Planlama (ERP) sistemlerine entegrasyonu sağlanmalıdır. Bu, Sürdürülebilirlik Performans Hedeflerinin (SPH) güvenilirliğini garanti altına alır.</w:t>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Çifte Önemlilik Analizinin Merkezileştirilmesi:</w:t>
      </w:r>
      <w:r w:rsidDel="00000000" w:rsidR="00000000" w:rsidRPr="00000000">
        <w:rPr>
          <w:rFonts w:ascii="Google Sans Text" w:cs="Google Sans Text" w:eastAsia="Google Sans Text" w:hAnsi="Google Sans Text"/>
          <w:color w:val="1b1c1d"/>
          <w:rtl w:val="0"/>
        </w:rPr>
        <w:t xml:space="preserve"> Çifte Önemlilik prensibi uyarınca, şirket faaliyetlerinin çevre ve toplum üzerindeki etkileri (Etki Önemliliği) ile bu etkilerin finansal sonuçları (Finansal Önemlilik) eş zamanlı olarak değerlendirilmelidir. Bu iki farklı önemlilik perspektifi, GRI (Etki) ve ISSB/SASB (Finansal) raporlamasını aynı anda karşılayacak tek bir veri setinin oluşturulmasını gerektirir.</w:t>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Finans ve Sürdürülebilirlik Departmanlarının Uyumlaştırılması:</w:t>
      </w:r>
      <w:r w:rsidDel="00000000" w:rsidR="00000000" w:rsidRPr="00000000">
        <w:rPr>
          <w:rFonts w:ascii="Google Sans Text" w:cs="Google Sans Text" w:eastAsia="Google Sans Text" w:hAnsi="Google Sans Text"/>
          <w:color w:val="1b1c1d"/>
          <w:rtl w:val="0"/>
        </w:rPr>
        <w:t xml:space="preserve"> Sürdürülebilirlik Bağlantılı Kredilerdeki "Tetikleyici Olay" mekanizması nedeniyle, sürdürülebilirlik performansı doğrudan borçlanma maliyetlerini etkilemektedir. Bu nedenle SPH'lerin belirlenmesi, izlenmesi ve raporlanması süreçlerinde Hazine/Finans ve Sürdürülebilirlik departmanlarının ortak ve stratejik çalışması esastır.</w:t>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Yasal Uyum ve Akreditasyon:</w:t>
      </w:r>
      <w:r w:rsidDel="00000000" w:rsidR="00000000" w:rsidRPr="00000000">
        <w:rPr>
          <w:rFonts w:ascii="Google Sans Text" w:cs="Google Sans Text" w:eastAsia="Google Sans Text" w:hAnsi="Google Sans Text"/>
          <w:color w:val="1b1c1d"/>
          <w:rtl w:val="0"/>
        </w:rPr>
        <w:t xml:space="preserve"> KGK tarafından belirlenen Türkiye Sürdürülebilirlik Raporlama Standartları (TSRS) ile uyum sağlanmalı ve raporların güvenilirliğini artırmak için nitelikli "yeşil yakalı" uzmanların istihdamına öncelik verilmelidir.</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Güvence Denetimi:</w:t>
      </w:r>
      <w:r w:rsidDel="00000000" w:rsidR="00000000" w:rsidRPr="00000000">
        <w:rPr>
          <w:rFonts w:ascii="Google Sans Text" w:cs="Google Sans Text" w:eastAsia="Google Sans Text" w:hAnsi="Google Sans Text"/>
          <w:color w:val="1b1c1d"/>
          <w:rtl w:val="0"/>
        </w:rPr>
        <w:t xml:space="preserve"> Hazırlanan Sürdürülebilirlik ve Entegre Raporların, sermaye piyasalarında ve finansman kuruluşları nezdinde kabul görmesi için bağımsız güvence denetimine (verification) tabi tutulması zorunludur.</w:t>
      </w:r>
    </w:p>
    <w:p w:rsidR="00000000" w:rsidDel="00000000" w:rsidP="00000000" w:rsidRDefault="00000000" w:rsidRPr="00000000" w14:paraId="000000F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ESG Nedir, Kriterleri Nelerdir? ESG'nin Şirketler için Önemi Nedir? | Blog - Apollo IoT, erişim tarihi Ekim 2, 2025, </w:t>
      </w:r>
      <w:hyperlink r:id="rId7">
        <w:r w:rsidDel="00000000" w:rsidR="00000000" w:rsidRPr="00000000">
          <w:rPr>
            <w:rFonts w:ascii="Google Sans" w:cs="Google Sans" w:eastAsia="Google Sans" w:hAnsi="Google Sans"/>
            <w:color w:val="0000ee"/>
            <w:sz w:val="24"/>
            <w:szCs w:val="24"/>
            <w:u w:val="single"/>
            <w:rtl w:val="0"/>
          </w:rPr>
          <w:t xml:space="preserve">https://www.apollo.eco/esg-nedir-kriterleri-nelerdir-esgnin-sirketler-icin-onemi-nedir/</w:t>
        </w:r>
      </w:hyperlink>
      <w:r w:rsidDel="00000000" w:rsidR="00000000" w:rsidRPr="00000000">
        <w:rPr>
          <w:rtl w:val="0"/>
        </w:rPr>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ESG İlkeleri: ESG Hakkında Her Şey - Enexion Group, erişim tarihi Ekim 2, 2025, </w:t>
      </w:r>
      <w:hyperlink r:id="rId8">
        <w:r w:rsidDel="00000000" w:rsidR="00000000" w:rsidRPr="00000000">
          <w:rPr>
            <w:rFonts w:ascii="Google Sans" w:cs="Google Sans" w:eastAsia="Google Sans" w:hAnsi="Google Sans"/>
            <w:color w:val="0000ee"/>
            <w:sz w:val="24"/>
            <w:szCs w:val="24"/>
            <w:u w:val="single"/>
            <w:rtl w:val="0"/>
          </w:rPr>
          <w:t xml:space="preserve">https://www.enexion.com.tr/esg-ilkeleri-esg-hakkinda-her-sey/</w:t>
        </w:r>
      </w:hyperlink>
      <w:r w:rsidDel="00000000" w:rsidR="00000000" w:rsidRPr="00000000">
        <w:rPr>
          <w:rtl w:val="0"/>
        </w:rPr>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SDG and ESG?, erişim tarihi Ekim 2, 2025, </w:t>
      </w:r>
      <w:hyperlink r:id="rId9">
        <w:r w:rsidDel="00000000" w:rsidR="00000000" w:rsidRPr="00000000">
          <w:rPr>
            <w:rFonts w:ascii="Google Sans" w:cs="Google Sans" w:eastAsia="Google Sans" w:hAnsi="Google Sans"/>
            <w:color w:val="0000ee"/>
            <w:sz w:val="24"/>
            <w:szCs w:val="24"/>
            <w:u w:val="single"/>
            <w:rtl w:val="0"/>
          </w:rPr>
          <w:t xml:space="preserve">https://esgthereport.com/what-is-sdg-and-esg/</w:t>
        </w:r>
      </w:hyperlink>
      <w:r w:rsidDel="00000000" w:rsidR="00000000" w:rsidRPr="00000000">
        <w:rPr>
          <w:rtl w:val="0"/>
        </w:rPr>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ESG ne anlama geliyor ve neden önemli? - Yeşil Bina | ECOBUILD, erişim tarihi Ekim 2, 2025, </w:t>
      </w:r>
      <w:hyperlink r:id="rId10">
        <w:r w:rsidDel="00000000" w:rsidR="00000000" w:rsidRPr="00000000">
          <w:rPr>
            <w:rFonts w:ascii="Google Sans" w:cs="Google Sans" w:eastAsia="Google Sans" w:hAnsi="Google Sans"/>
            <w:color w:val="0000ee"/>
            <w:sz w:val="24"/>
            <w:szCs w:val="24"/>
            <w:u w:val="single"/>
            <w:rtl w:val="0"/>
          </w:rPr>
          <w:t xml:space="preserve">https://www.ecobuild.com.tr/post/esg-ne-anlama-geliyor-ve-neden-%C3%B6nemli</w:t>
        </w:r>
      </w:hyperlink>
      <w:r w:rsidDel="00000000" w:rsidR="00000000" w:rsidRPr="00000000">
        <w:rPr>
          <w:rtl w:val="0"/>
        </w:rPr>
      </w:r>
    </w:p>
    <w:p w:rsidR="00000000" w:rsidDel="00000000" w:rsidP="00000000" w:rsidRDefault="00000000" w:rsidRPr="00000000" w14:paraId="000000F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Increasing Awareness of How SDGs and ESG Are Different, and Related Tokyo Century Initiatives, erişim tarihi Ekim 2, 2025, </w:t>
      </w:r>
      <w:hyperlink r:id="rId11">
        <w:r w:rsidDel="00000000" w:rsidR="00000000" w:rsidRPr="00000000">
          <w:rPr>
            <w:rFonts w:ascii="Google Sans" w:cs="Google Sans" w:eastAsia="Google Sans" w:hAnsi="Google Sans"/>
            <w:color w:val="0000ee"/>
            <w:sz w:val="24"/>
            <w:szCs w:val="24"/>
            <w:u w:val="single"/>
            <w:rtl w:val="0"/>
          </w:rPr>
          <w:t xml:space="preserve">https://www.tokyocentury.co.jp/tc-news-en/sustainability/differences-sdgs-and-esg/</w:t>
        </w:r>
      </w:hyperlink>
      <w:r w:rsidDel="00000000" w:rsidR="00000000" w:rsidRPr="00000000">
        <w:rPr>
          <w:rtl w:val="0"/>
        </w:rPr>
      </w:r>
    </w:p>
    <w:p w:rsidR="00000000" w:rsidDel="00000000" w:rsidP="00000000" w:rsidRDefault="00000000" w:rsidRPr="00000000" w14:paraId="000000F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 целей - Sustainable Development Goals, erişim tarihi Ekim 2, 2025, </w:t>
      </w:r>
      <w:hyperlink r:id="rId12">
        <w:r w:rsidDel="00000000" w:rsidR="00000000" w:rsidRPr="00000000">
          <w:rPr>
            <w:rFonts w:ascii="Google Sans" w:cs="Google Sans" w:eastAsia="Google Sans" w:hAnsi="Google Sans"/>
            <w:color w:val="0000ee"/>
            <w:sz w:val="24"/>
            <w:szCs w:val="24"/>
            <w:u w:val="single"/>
            <w:rtl w:val="0"/>
          </w:rPr>
          <w:t xml:space="preserve">https://sdgs.un.org/ru/goals</w:t>
        </w:r>
      </w:hyperlink>
      <w:r w:rsidDel="00000000" w:rsidR="00000000" w:rsidRPr="00000000">
        <w:rPr>
          <w:rtl w:val="0"/>
        </w:rPr>
      </w:r>
    </w:p>
    <w:p w:rsidR="00000000" w:rsidDel="00000000" w:rsidP="00000000" w:rsidRDefault="00000000" w:rsidRPr="00000000" w14:paraId="0000010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Anasayfa | Kuresel Amaçlar, erişim tarihi Ekim 2, 2025, </w:t>
      </w:r>
      <w:hyperlink r:id="rId13">
        <w:r w:rsidDel="00000000" w:rsidR="00000000" w:rsidRPr="00000000">
          <w:rPr>
            <w:rFonts w:ascii="Google Sans" w:cs="Google Sans" w:eastAsia="Google Sans" w:hAnsi="Google Sans"/>
            <w:color w:val="0000ee"/>
            <w:sz w:val="24"/>
            <w:szCs w:val="24"/>
            <w:u w:val="single"/>
            <w:rtl w:val="0"/>
          </w:rPr>
          <w:t xml:space="preserve">https://www.kureselamaclar.org/</w:t>
        </w:r>
      </w:hyperlink>
      <w:r w:rsidDel="00000000" w:rsidR="00000000" w:rsidRPr="00000000">
        <w:rPr>
          <w:rtl w:val="0"/>
        </w:rPr>
      </w:r>
    </w:p>
    <w:p w:rsidR="00000000" w:rsidDel="00000000" w:rsidP="00000000" w:rsidRDefault="00000000" w:rsidRPr="00000000" w14:paraId="0000010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17 GOALS - Sustainable Development Goals - the United Nations, erişim tarihi Ekim 2, 2025, </w:t>
      </w:r>
      <w:hyperlink r:id="rId14">
        <w:r w:rsidDel="00000000" w:rsidR="00000000" w:rsidRPr="00000000">
          <w:rPr>
            <w:rFonts w:ascii="Google Sans" w:cs="Google Sans" w:eastAsia="Google Sans" w:hAnsi="Google Sans"/>
            <w:color w:val="0000ee"/>
            <w:sz w:val="24"/>
            <w:szCs w:val="24"/>
            <w:u w:val="single"/>
            <w:rtl w:val="0"/>
          </w:rPr>
          <w:t xml:space="preserve">https://sdgs.un.org/goals</w:t>
        </w:r>
      </w:hyperlink>
      <w:r w:rsidDel="00000000" w:rsidR="00000000" w:rsidRPr="00000000">
        <w:rPr>
          <w:rtl w:val="0"/>
        </w:rPr>
      </w:r>
    </w:p>
    <w:p w:rsidR="00000000" w:rsidDel="00000000" w:rsidP="00000000" w:rsidRDefault="00000000" w:rsidRPr="00000000" w14:paraId="0000010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SDGs into Your ESG Reporting: A Pathway to Global Impact, erişim tarihi Ekim 2, 2025, </w:t>
      </w:r>
      <w:hyperlink r:id="rId15">
        <w:r w:rsidDel="00000000" w:rsidR="00000000" w:rsidRPr="00000000">
          <w:rPr>
            <w:rFonts w:ascii="Google Sans" w:cs="Google Sans" w:eastAsia="Google Sans" w:hAnsi="Google Sans"/>
            <w:color w:val="0000ee"/>
            <w:sz w:val="24"/>
            <w:szCs w:val="24"/>
            <w:u w:val="single"/>
            <w:rtl w:val="0"/>
          </w:rPr>
          <w:t xml:space="preserve">https://ecoactivetech.com/integrating-sdgs-into-your-esg-reporting-a-pathway-to-global-impact/</w:t>
        </w:r>
      </w:hyperlink>
      <w:r w:rsidDel="00000000" w:rsidR="00000000" w:rsidRPr="00000000">
        <w:rPr>
          <w:rtl w:val="0"/>
        </w:rPr>
      </w:r>
    </w:p>
    <w:p w:rsidR="00000000" w:rsidDel="00000000" w:rsidP="00000000" w:rsidRDefault="00000000" w:rsidRPr="00000000" w14:paraId="0000010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Kurumlar tarafından yaygın olarak kullanılan ESG çerçeveleri - SosyalUp, erişim tarihi Ekim 2, 2025, </w:t>
      </w:r>
      <w:hyperlink r:id="rId16">
        <w:r w:rsidDel="00000000" w:rsidR="00000000" w:rsidRPr="00000000">
          <w:rPr>
            <w:rFonts w:ascii="Google Sans" w:cs="Google Sans" w:eastAsia="Google Sans" w:hAnsi="Google Sans"/>
            <w:color w:val="0000ee"/>
            <w:sz w:val="24"/>
            <w:szCs w:val="24"/>
            <w:u w:val="single"/>
            <w:rtl w:val="0"/>
          </w:rPr>
          <w:t xml:space="preserve">https://sosyalup.net/kurumlar-tarafindan-yaygin-olarak-kullanilan-esg-cerceveleri/</w:t>
        </w:r>
      </w:hyperlink>
      <w:r w:rsidDel="00000000" w:rsidR="00000000" w:rsidRPr="00000000">
        <w:rPr>
          <w:rtl w:val="0"/>
        </w:rPr>
      </w:r>
    </w:p>
    <w:p w:rsidR="00000000" w:rsidDel="00000000" w:rsidP="00000000" w:rsidRDefault="00000000" w:rsidRPr="00000000" w14:paraId="0000010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Sürdürülebilir Kalkınma Amaçları - SDG Map Turkey, erişim tarihi Ekim 2, 2025, </w:t>
      </w:r>
      <w:hyperlink r:id="rId17">
        <w:r w:rsidDel="00000000" w:rsidR="00000000" w:rsidRPr="00000000">
          <w:rPr>
            <w:rFonts w:ascii="Google Sans" w:cs="Google Sans" w:eastAsia="Google Sans" w:hAnsi="Google Sans"/>
            <w:color w:val="0000ee"/>
            <w:sz w:val="24"/>
            <w:szCs w:val="24"/>
            <w:u w:val="single"/>
            <w:rtl w:val="0"/>
          </w:rPr>
          <w:t xml:space="preserve">https://sdgmapturkey.com/bilgi-merkezi/surdurulebilir-kalkinma-amaclari/</w:t>
        </w:r>
      </w:hyperlink>
      <w:r w:rsidDel="00000000" w:rsidR="00000000" w:rsidRPr="00000000">
        <w:rPr>
          <w:rtl w:val="0"/>
        </w:rPr>
      </w:r>
    </w:p>
    <w:p w:rsidR="00000000" w:rsidDel="00000000" w:rsidP="00000000" w:rsidRDefault="00000000" w:rsidRPr="00000000" w14:paraId="0000010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Revised list of global Sustainable Development Goal indicators, erişim tarihi Ekim 2, 2025, </w:t>
      </w:r>
      <w:hyperlink r:id="rId18">
        <w:r w:rsidDel="00000000" w:rsidR="00000000" w:rsidRPr="00000000">
          <w:rPr>
            <w:rFonts w:ascii="Google Sans" w:cs="Google Sans" w:eastAsia="Google Sans" w:hAnsi="Google Sans"/>
            <w:color w:val="0000ee"/>
            <w:sz w:val="24"/>
            <w:szCs w:val="24"/>
            <w:u w:val="single"/>
            <w:rtl w:val="0"/>
          </w:rPr>
          <w:t xml:space="preserve">https://unstats.un.org/sdgs/indicators/official%20revised%20list%20of%20global%20sdg%20indicators.pdf</w:t>
        </w:r>
      </w:hyperlink>
      <w:r w:rsidDel="00000000" w:rsidR="00000000" w:rsidRPr="00000000">
        <w:rPr>
          <w:rtl w:val="0"/>
        </w:rPr>
      </w:r>
    </w:p>
    <w:p w:rsidR="00000000" w:rsidDel="00000000" w:rsidP="00000000" w:rsidRDefault="00000000" w:rsidRPr="00000000" w14:paraId="0000010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SDG Indicators - UN Statistics Division, erişim tarihi Ekim 2, 2025, </w:t>
      </w:r>
      <w:hyperlink r:id="rId19">
        <w:r w:rsidDel="00000000" w:rsidR="00000000" w:rsidRPr="00000000">
          <w:rPr>
            <w:rFonts w:ascii="Google Sans" w:cs="Google Sans" w:eastAsia="Google Sans" w:hAnsi="Google Sans"/>
            <w:color w:val="0000ee"/>
            <w:sz w:val="24"/>
            <w:szCs w:val="24"/>
            <w:u w:val="single"/>
            <w:rtl w:val="0"/>
          </w:rPr>
          <w:t xml:space="preserve">https://unstats.un.org/sdgs/indicators/indicators-list/</w:t>
        </w:r>
      </w:hyperlink>
      <w:r w:rsidDel="00000000" w:rsidR="00000000" w:rsidRPr="00000000">
        <w:rPr>
          <w:rtl w:val="0"/>
        </w:rPr>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Temel Performans Göstergeleri ( KPI) Nedir?, erişim tarihi Ekim 2, 2025, </w:t>
      </w:r>
      <w:hyperlink r:id="rId20">
        <w:r w:rsidDel="00000000" w:rsidR="00000000" w:rsidRPr="00000000">
          <w:rPr>
            <w:rFonts w:ascii="Google Sans" w:cs="Google Sans" w:eastAsia="Google Sans" w:hAnsi="Google Sans"/>
            <w:color w:val="0000ee"/>
            <w:sz w:val="24"/>
            <w:szCs w:val="24"/>
            <w:u w:val="single"/>
            <w:rtl w:val="0"/>
          </w:rPr>
          <w:t xml:space="preserve">https://www.argenova.com.tr/temel-performans-gostergeleri-kpi-nedir</w:t>
        </w:r>
      </w:hyperlink>
      <w:r w:rsidDel="00000000" w:rsidR="00000000" w:rsidRPr="00000000">
        <w:rPr>
          <w:rtl w:val="0"/>
        </w:rPr>
      </w:r>
    </w:p>
    <w:p w:rsidR="00000000" w:rsidDel="00000000" w:rsidP="00000000" w:rsidRDefault="00000000" w:rsidRPr="00000000" w14:paraId="0000010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Kpi Örnekleri - (Anahtar Performans Göstergesi Örnekleri) - idenfit, erişim tarihi Ekim 2, 2025, </w:t>
      </w:r>
      <w:hyperlink r:id="rId21">
        <w:r w:rsidDel="00000000" w:rsidR="00000000" w:rsidRPr="00000000">
          <w:rPr>
            <w:rFonts w:ascii="Google Sans" w:cs="Google Sans" w:eastAsia="Google Sans" w:hAnsi="Google Sans"/>
            <w:color w:val="0000ee"/>
            <w:sz w:val="24"/>
            <w:szCs w:val="24"/>
            <w:u w:val="single"/>
            <w:rtl w:val="0"/>
          </w:rPr>
          <w:t xml:space="preserve">https://idenfit.com/tr/blog/kpi-ornekleri/</w:t>
        </w:r>
      </w:hyperlink>
      <w:r w:rsidDel="00000000" w:rsidR="00000000" w:rsidRPr="00000000">
        <w:rPr>
          <w:rtl w:val="0"/>
        </w:rPr>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ERP Sistemleri ve Sürdürülebilirlik: İşletmenizi Yeşil Yapın! - Pargesoft, erişim tarihi Ekim 2, 2025, </w:t>
      </w:r>
      <w:hyperlink r:id="rId22">
        <w:r w:rsidDel="00000000" w:rsidR="00000000" w:rsidRPr="00000000">
          <w:rPr>
            <w:rFonts w:ascii="Google Sans" w:cs="Google Sans" w:eastAsia="Google Sans" w:hAnsi="Google Sans"/>
            <w:color w:val="0000ee"/>
            <w:sz w:val="24"/>
            <w:szCs w:val="24"/>
            <w:u w:val="single"/>
            <w:rtl w:val="0"/>
          </w:rPr>
          <w:t xml:space="preserve">https://pargesoft.com/tr/erp-sistemleri-ve-surdurulebilirlik-isletmenizi-yesil-yapin/</w:t>
        </w:r>
      </w:hyperlink>
      <w:r w:rsidDel="00000000" w:rsidR="00000000" w:rsidRPr="00000000">
        <w:rPr>
          <w:rtl w:val="0"/>
        </w:rPr>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KPI Nedir, Örnekleri Nelerdir, Nasıl Uygulanır? - Pusula360, erişim tarihi Ekim 2, 2025, </w:t>
      </w:r>
      <w:hyperlink r:id="rId23">
        <w:r w:rsidDel="00000000" w:rsidR="00000000" w:rsidRPr="00000000">
          <w:rPr>
            <w:rFonts w:ascii="Google Sans" w:cs="Google Sans" w:eastAsia="Google Sans" w:hAnsi="Google Sans"/>
            <w:color w:val="0000ee"/>
            <w:sz w:val="24"/>
            <w:szCs w:val="24"/>
            <w:u w:val="single"/>
            <w:rtl w:val="0"/>
          </w:rPr>
          <w:t xml:space="preserve">https://www.pusula360.com/blog/detay/249/kpi-nedir-ornekleri-nelerdir-nasil-uygulanir</w:t>
        </w:r>
      </w:hyperlink>
      <w:r w:rsidDel="00000000" w:rsidR="00000000" w:rsidRPr="00000000">
        <w:rPr>
          <w:rtl w:val="0"/>
        </w:rPr>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Sürdürülebilirlik Bağlantılı Tahvil İlkeleri Gönüllü Süreç Rehberi Haziran 2020, erişim tarihi Ekim 2, 2025, </w:t>
      </w:r>
      <w:hyperlink r:id="rId24">
        <w:r w:rsidDel="00000000" w:rsidR="00000000" w:rsidRPr="00000000">
          <w:rPr>
            <w:rFonts w:ascii="Google Sans" w:cs="Google Sans" w:eastAsia="Google Sans" w:hAnsi="Google Sans"/>
            <w:color w:val="0000ee"/>
            <w:sz w:val="24"/>
            <w:szCs w:val="24"/>
            <w:u w:val="single"/>
            <w:rtl w:val="0"/>
          </w:rPr>
          <w:t xml:space="preserve">https://www.icmagroup.org/assets/documents/Regulatory/Green-Bonds/Translations/2020/Turkish-SLBP2020-06-021120.pdf</w:t>
        </w:r>
      </w:hyperlink>
      <w:r w:rsidDel="00000000" w:rsidR="00000000" w:rsidRPr="00000000">
        <w:rPr>
          <w:rtl w:val="0"/>
        </w:rPr>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Sürdürülebilirlik Analizi Nedir - Kapsamlı Açıklama - Erke Tasarim, erişim tarihi Ekim 2, 2025, </w:t>
      </w:r>
      <w:hyperlink r:id="rId25">
        <w:r w:rsidDel="00000000" w:rsidR="00000000" w:rsidRPr="00000000">
          <w:rPr>
            <w:rFonts w:ascii="Google Sans" w:cs="Google Sans" w:eastAsia="Google Sans" w:hAnsi="Google Sans"/>
            <w:color w:val="0000ee"/>
            <w:sz w:val="24"/>
            <w:szCs w:val="24"/>
            <w:u w:val="single"/>
            <w:rtl w:val="0"/>
          </w:rPr>
          <w:t xml:space="preserve">https://erketasarim.com/blog/surdurulebilirlik-analizi-nedir</w:t>
        </w:r>
      </w:hyperlink>
      <w:r w:rsidDel="00000000" w:rsidR="00000000" w:rsidRPr="00000000">
        <w:rPr>
          <w:rtl w:val="0"/>
        </w:rPr>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SASB Standards and other ESG frameworks, erişim tarihi Ekim 2, 2025, </w:t>
      </w:r>
      <w:hyperlink r:id="rId26">
        <w:r w:rsidDel="00000000" w:rsidR="00000000" w:rsidRPr="00000000">
          <w:rPr>
            <w:rFonts w:ascii="Google Sans" w:cs="Google Sans" w:eastAsia="Google Sans" w:hAnsi="Google Sans"/>
            <w:color w:val="0000ee"/>
            <w:sz w:val="24"/>
            <w:szCs w:val="24"/>
            <w:u w:val="single"/>
            <w:rtl w:val="0"/>
          </w:rPr>
          <w:t xml:space="preserve">https://sasb.ifrs.org/about/sasb-and-other-esg-frameworks/</w:t>
        </w:r>
      </w:hyperlink>
      <w:r w:rsidDel="00000000" w:rsidR="00000000" w:rsidRPr="00000000">
        <w:rPr>
          <w:rtl w:val="0"/>
        </w:rPr>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Practical Guide to Sustainability Reporting Using GRI and SASB Standards, erişim tarihi Ekim 2, 2025, </w:t>
      </w:r>
      <w:hyperlink r:id="rId27">
        <w:r w:rsidDel="00000000" w:rsidR="00000000" w:rsidRPr="00000000">
          <w:rPr>
            <w:rFonts w:ascii="Google Sans" w:cs="Google Sans" w:eastAsia="Google Sans" w:hAnsi="Google Sans"/>
            <w:color w:val="0000ee"/>
            <w:sz w:val="24"/>
            <w:szCs w:val="24"/>
            <w:u w:val="single"/>
            <w:rtl w:val="0"/>
          </w:rPr>
          <w:t xml:space="preserve">https://www.globalreporting.org/media/mlkjpn1i/gri-sasb-joint-publication-april-2021.pdf</w:t>
        </w:r>
      </w:hyperlink>
      <w:r w:rsidDel="00000000" w:rsidR="00000000" w:rsidRPr="00000000">
        <w:rPr>
          <w:rtl w:val="0"/>
        </w:rPr>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ESG Reporting Frameworks &amp; Standards | Blog - Novisto, erişim tarihi Ekim 2, 2025, </w:t>
      </w:r>
      <w:hyperlink r:id="rId28">
        <w:r w:rsidDel="00000000" w:rsidR="00000000" w:rsidRPr="00000000">
          <w:rPr>
            <w:rFonts w:ascii="Google Sans" w:cs="Google Sans" w:eastAsia="Google Sans" w:hAnsi="Google Sans"/>
            <w:color w:val="0000ee"/>
            <w:sz w:val="24"/>
            <w:szCs w:val="24"/>
            <w:u w:val="single"/>
            <w:rtl w:val="0"/>
          </w:rPr>
          <w:t xml:space="preserve">https://novisto.com/resources/blogs/four-popular-esg-reporting-schemes-that-complement-each-other</w:t>
        </w:r>
      </w:hyperlink>
      <w:r w:rsidDel="00000000" w:rsidR="00000000" w:rsidRPr="00000000">
        <w:rPr>
          <w:rtl w:val="0"/>
        </w:rPr>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Soru ve Cevaplarla Sürdürülebilirlik Raporlaması - Kamu Gözetim Kurumu, erişim tarihi Ekim 2, 2025, </w:t>
      </w:r>
      <w:hyperlink r:id="rId29">
        <w:r w:rsidDel="00000000" w:rsidR="00000000" w:rsidRPr="00000000">
          <w:rPr>
            <w:rFonts w:ascii="Google Sans" w:cs="Google Sans" w:eastAsia="Google Sans" w:hAnsi="Google Sans"/>
            <w:color w:val="0000ee"/>
            <w:sz w:val="24"/>
            <w:szCs w:val="24"/>
            <w:u w:val="single"/>
            <w:rtl w:val="0"/>
          </w:rPr>
          <w:t xml:space="preserve">https://www.kgk.gov.tr/Portalv2Uploads/files/Sustainability/Soru_ve_Cevaplarla_Surdurulebilirlik_Raporlamasi_30_05_2023-.pdf</w:t>
        </w:r>
      </w:hyperlink>
      <w:r w:rsidDel="00000000" w:rsidR="00000000" w:rsidRPr="00000000">
        <w:rPr>
          <w:rtl w:val="0"/>
        </w:rPr>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Sürdürülebilirlik Raporları - SDG Map Turkey, erişim tarihi Ekim 2, 2025, </w:t>
      </w:r>
      <w:hyperlink r:id="rId30">
        <w:r w:rsidDel="00000000" w:rsidR="00000000" w:rsidRPr="00000000">
          <w:rPr>
            <w:rFonts w:ascii="Google Sans" w:cs="Google Sans" w:eastAsia="Google Sans" w:hAnsi="Google Sans"/>
            <w:color w:val="0000ee"/>
            <w:sz w:val="24"/>
            <w:szCs w:val="24"/>
            <w:u w:val="single"/>
            <w:rtl w:val="0"/>
          </w:rPr>
          <w:t xml:space="preserve">https://sdgmapturkey.com/surdurulebilirlik-raporlari/</w:t>
        </w:r>
      </w:hyperlink>
      <w:r w:rsidDel="00000000" w:rsidR="00000000" w:rsidRPr="00000000">
        <w:rPr>
          <w:rtl w:val="0"/>
        </w:rPr>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ŞİRKETLER İÇİN ENTEGRE RAPORLAMA REHBERİ, erişim tarihi Ekim 2, 2025, </w:t>
      </w:r>
      <w:hyperlink r:id="rId31">
        <w:r w:rsidDel="00000000" w:rsidR="00000000" w:rsidRPr="00000000">
          <w:rPr>
            <w:rFonts w:ascii="Google Sans" w:cs="Google Sans" w:eastAsia="Google Sans" w:hAnsi="Google Sans"/>
            <w:color w:val="0000ee"/>
            <w:sz w:val="24"/>
            <w:szCs w:val="24"/>
            <w:u w:val="single"/>
            <w:rtl w:val="0"/>
          </w:rPr>
          <w:t xml:space="preserve">https://www.entegreraporlamatr.org/tr/images/pdf/ERTA-Borsa-istanbul-AS-Sirketler-icin-Entegre-Raporlama-Rehberi.pdf</w:t>
        </w:r>
      </w:hyperlink>
      <w:r w:rsidDel="00000000" w:rsidR="00000000" w:rsidRPr="00000000">
        <w:rPr>
          <w:rtl w:val="0"/>
        </w:rPr>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CDP vs SASB vs GRI Sustainability Reporting Standards | Blog - OneTrust, erişim tarihi Ekim 2, 2025, </w:t>
      </w:r>
      <w:hyperlink r:id="rId32">
        <w:r w:rsidDel="00000000" w:rsidR="00000000" w:rsidRPr="00000000">
          <w:rPr>
            <w:rFonts w:ascii="Google Sans" w:cs="Google Sans" w:eastAsia="Google Sans" w:hAnsi="Google Sans"/>
            <w:color w:val="0000ee"/>
            <w:sz w:val="24"/>
            <w:szCs w:val="24"/>
            <w:u w:val="single"/>
            <w:rtl w:val="0"/>
          </w:rPr>
          <w:t xml:space="preserve">https://www.onetrust.com/blog/cdp-sasb-gri-sustainability-reporting-standards/</w:t>
        </w:r>
      </w:hyperlink>
      <w:r w:rsidDel="00000000" w:rsidR="00000000" w:rsidRPr="00000000">
        <w:rPr>
          <w:rtl w:val="0"/>
        </w:rPr>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KGK Türkiye Sürdürülebilirlik Raporlama Standartları'nın Uygulama Kapsamına İlişkin Kararı ve Kurumsal Sürdürülebilirlik Raporlaması Eğitimi Kapsamında Yetkilendirilen Kuruluşlar | Narter &amp; Partners, erişim tarihi Ekim 2, 2025, </w:t>
      </w:r>
      <w:hyperlink r:id="rId33">
        <w:r w:rsidDel="00000000" w:rsidR="00000000" w:rsidRPr="00000000">
          <w:rPr>
            <w:rFonts w:ascii="Google Sans" w:cs="Google Sans" w:eastAsia="Google Sans" w:hAnsi="Google Sans"/>
            <w:color w:val="0000ee"/>
            <w:sz w:val="24"/>
            <w:szCs w:val="24"/>
            <w:u w:val="single"/>
            <w:rtl w:val="0"/>
          </w:rPr>
          <w:t xml:space="preserve">https://www.narterlaw.com/kgk-turkiye-surdurulebilirlik-raporlama-standartlari/</w:t>
        </w:r>
      </w:hyperlink>
      <w:r w:rsidDel="00000000" w:rsidR="00000000" w:rsidRPr="00000000">
        <w:rPr>
          <w:rtl w:val="0"/>
        </w:rPr>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EIB Group contribution to the Sustainable Development Goals, erişim tarihi Ekim 2, 2025, </w:t>
      </w:r>
      <w:hyperlink r:id="rId34">
        <w:r w:rsidDel="00000000" w:rsidR="00000000" w:rsidRPr="00000000">
          <w:rPr>
            <w:rFonts w:ascii="Google Sans" w:cs="Google Sans" w:eastAsia="Google Sans" w:hAnsi="Google Sans"/>
            <w:color w:val="0000ee"/>
            <w:sz w:val="24"/>
            <w:szCs w:val="24"/>
            <w:u w:val="single"/>
            <w:rtl w:val="0"/>
          </w:rPr>
          <w:t xml:space="preserve">https://www.eib.org/en/about/cr/sdg/index</w:t>
        </w:r>
      </w:hyperlink>
      <w:r w:rsidDel="00000000" w:rsidR="00000000" w:rsidRPr="00000000">
        <w:rPr>
          <w:rtl w:val="0"/>
        </w:rPr>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Yeşil Tahviller: Sürdürülebilir Finansmanın Yeni Yüzü Green Bonds - DergiPark, erişim tarihi Ekim 2, 2025, </w:t>
      </w:r>
      <w:hyperlink r:id="rId35">
        <w:r w:rsidDel="00000000" w:rsidR="00000000" w:rsidRPr="00000000">
          <w:rPr>
            <w:rFonts w:ascii="Google Sans" w:cs="Google Sans" w:eastAsia="Google Sans" w:hAnsi="Google Sans"/>
            <w:color w:val="0000ee"/>
            <w:sz w:val="24"/>
            <w:szCs w:val="24"/>
            <w:u w:val="single"/>
            <w:rtl w:val="0"/>
          </w:rPr>
          <w:t xml:space="preserve">https://dergipark.org.tr/tr/download/article-file/4570140</w:t>
        </w:r>
      </w:hyperlink>
      <w:r w:rsidDel="00000000" w:rsidR="00000000" w:rsidRPr="00000000">
        <w:rPr>
          <w:rtl w:val="0"/>
        </w:rPr>
      </w:r>
    </w:p>
    <w:p w:rsidR="00000000" w:rsidDel="00000000" w:rsidP="00000000" w:rsidRDefault="00000000" w:rsidRPr="00000000" w14:paraId="0000011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İklim Finansmanında Yeşil Merkez Bankacılığı, Sürdürülebilirlik Bağlantılı Tahviller, Sigortacılık ve Tematik Tah, erişim tarihi Ekim 2, 2025, </w:t>
      </w:r>
      <w:hyperlink r:id="rId36">
        <w:r w:rsidDel="00000000" w:rsidR="00000000" w:rsidRPr="00000000">
          <w:rPr>
            <w:rFonts w:ascii="Google Sans" w:cs="Google Sans" w:eastAsia="Google Sans" w:hAnsi="Google Sans"/>
            <w:color w:val="0000ee"/>
            <w:sz w:val="24"/>
            <w:szCs w:val="24"/>
            <w:u w:val="single"/>
            <w:rtl w:val="0"/>
          </w:rPr>
          <w:t xml:space="preserve">https://iklim.gov.tr/db/turkce/dokumanlar/iklim-finansmaninda--8230-87-20230403104710.pdf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argenova.com.tr/temel-performans-gostergeleri-kpi-nedir" TargetMode="External"/><Relationship Id="rId22" Type="http://schemas.openxmlformats.org/officeDocument/2006/relationships/hyperlink" Target="https://pargesoft.com/tr/erp-sistemleri-ve-surdurulebilirlik-isletmenizi-yesil-yapin/" TargetMode="External"/><Relationship Id="rId21" Type="http://schemas.openxmlformats.org/officeDocument/2006/relationships/hyperlink" Target="https://idenfit.com/tr/blog/kpi-ornekleri/" TargetMode="External"/><Relationship Id="rId24" Type="http://schemas.openxmlformats.org/officeDocument/2006/relationships/hyperlink" Target="https://www.icmagroup.org/assets/documents/Regulatory/Green-Bonds/Translations/2020/Turkish-SLBP2020-06-021120.pdf" TargetMode="External"/><Relationship Id="rId23" Type="http://schemas.openxmlformats.org/officeDocument/2006/relationships/hyperlink" Target="https://www.pusula360.com/blog/detay/249/kpi-nedir-ornekleri-nelerdir-nasil-uygulani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sgthereport.com/what-is-sdg-and-esg/" TargetMode="External"/><Relationship Id="rId26" Type="http://schemas.openxmlformats.org/officeDocument/2006/relationships/hyperlink" Target="https://sasb.ifrs.org/about/sasb-and-other-esg-frameworks/" TargetMode="External"/><Relationship Id="rId25" Type="http://schemas.openxmlformats.org/officeDocument/2006/relationships/hyperlink" Target="https://erketasarim.com/blog/surdurulebilirlik-analizi-nedir" TargetMode="External"/><Relationship Id="rId28" Type="http://schemas.openxmlformats.org/officeDocument/2006/relationships/hyperlink" Target="https://novisto.com/resources/blogs/four-popular-esg-reporting-schemes-that-complement-each-other" TargetMode="External"/><Relationship Id="rId27" Type="http://schemas.openxmlformats.org/officeDocument/2006/relationships/hyperlink" Target="https://www.globalreporting.org/media/mlkjpn1i/gri-sasb-joint-publication-april-2021.pdf"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www.kgk.gov.tr/Portalv2Uploads/files/Sustainability/Soru_ve_Cevaplarla_Surdurulebilirlik_Raporlamasi_30_05_2023-.pdf" TargetMode="External"/><Relationship Id="rId7" Type="http://schemas.openxmlformats.org/officeDocument/2006/relationships/hyperlink" Target="https://www.apollo.eco/esg-nedir-kriterleri-nelerdir-esgnin-sirketler-icin-onemi-nedir/" TargetMode="External"/><Relationship Id="rId8" Type="http://schemas.openxmlformats.org/officeDocument/2006/relationships/hyperlink" Target="https://www.enexion.com.tr/esg-ilkeleri-esg-hakkinda-her-sey/" TargetMode="External"/><Relationship Id="rId31" Type="http://schemas.openxmlformats.org/officeDocument/2006/relationships/hyperlink" Target="https://www.entegreraporlamatr.org/tr/images/pdf/ERTA-Borsa-istanbul-AS-Sirketler-icin-Entegre-Raporlama-Rehberi.pdf" TargetMode="External"/><Relationship Id="rId30" Type="http://schemas.openxmlformats.org/officeDocument/2006/relationships/hyperlink" Target="https://sdgmapturkey.com/surdurulebilirlik-raporlari/" TargetMode="External"/><Relationship Id="rId11" Type="http://schemas.openxmlformats.org/officeDocument/2006/relationships/hyperlink" Target="https://www.tokyocentury.co.jp/tc-news-en/sustainability/differences-sdgs-and-esg/" TargetMode="External"/><Relationship Id="rId33" Type="http://schemas.openxmlformats.org/officeDocument/2006/relationships/hyperlink" Target="https://www.narterlaw.com/kgk-turkiye-surdurulebilirlik-raporlama-standartlari/" TargetMode="External"/><Relationship Id="rId10" Type="http://schemas.openxmlformats.org/officeDocument/2006/relationships/hyperlink" Target="https://www.ecobuild.com.tr/post/esg-ne-anlama-geliyor-ve-neden-%C3%B6nemli" TargetMode="External"/><Relationship Id="rId32" Type="http://schemas.openxmlformats.org/officeDocument/2006/relationships/hyperlink" Target="https://www.onetrust.com/blog/cdp-sasb-gri-sustainability-reporting-standards/" TargetMode="External"/><Relationship Id="rId13" Type="http://schemas.openxmlformats.org/officeDocument/2006/relationships/hyperlink" Target="https://www.kureselamaclar.org/" TargetMode="External"/><Relationship Id="rId35" Type="http://schemas.openxmlformats.org/officeDocument/2006/relationships/hyperlink" Target="https://dergipark.org.tr/tr/download/article-file/4570140" TargetMode="External"/><Relationship Id="rId12" Type="http://schemas.openxmlformats.org/officeDocument/2006/relationships/hyperlink" Target="https://sdgs.un.org/ru/goals" TargetMode="External"/><Relationship Id="rId34" Type="http://schemas.openxmlformats.org/officeDocument/2006/relationships/hyperlink" Target="https://www.eib.org/en/about/cr/sdg/index" TargetMode="External"/><Relationship Id="rId15" Type="http://schemas.openxmlformats.org/officeDocument/2006/relationships/hyperlink" Target="https://ecoactivetech.com/integrating-sdgs-into-your-esg-reporting-a-pathway-to-global-impact/" TargetMode="External"/><Relationship Id="rId14" Type="http://schemas.openxmlformats.org/officeDocument/2006/relationships/hyperlink" Target="https://sdgs.un.org/goals" TargetMode="External"/><Relationship Id="rId36" Type="http://schemas.openxmlformats.org/officeDocument/2006/relationships/hyperlink" Target="https://iklim.gov.tr/db/turkce/dokumanlar/iklim-finansmaninda--8230-87-20230403104710.pdf" TargetMode="External"/><Relationship Id="rId17" Type="http://schemas.openxmlformats.org/officeDocument/2006/relationships/hyperlink" Target="https://sdgmapturkey.com/bilgi-merkezi/surdurulebilir-kalkinma-amaclari/" TargetMode="External"/><Relationship Id="rId16" Type="http://schemas.openxmlformats.org/officeDocument/2006/relationships/hyperlink" Target="https://sosyalup.net/kurumlar-tarafindan-yaygin-olarak-kullanilan-esg-cerceveleri/" TargetMode="External"/><Relationship Id="rId19" Type="http://schemas.openxmlformats.org/officeDocument/2006/relationships/hyperlink" Target="https://unstats.un.org/sdgs/indicators/indicators-list/" TargetMode="External"/><Relationship Id="rId18" Type="http://schemas.openxmlformats.org/officeDocument/2006/relationships/hyperlink" Target="https://unstats.un.org/sdgs/indicators/official%20revised%20list%20of%20global%20sdg%20indicators.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